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>
      <w:pPr>
        <w:bidi w:val="0"/>
        <w:spacing w:before="0" w:after="0"/>
        <w:ind w:left="0" w:right="-200" w:firstLine="0"/>
        <w:jc w:val="both"/>
        <w:sectPr>
          <w:pgSz w:w="12240" w:h="15840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12pt;height:11in;margin-top:-0pt;margin-left:0;mso-position-horizontal-relative:page;position:absolute;z-index:-251658240">
            <v:imagedata r:id="rId4" o:title=""/>
            <w10:anchorlock/>
          </v:shape>
        </w:pict>
      </w:r>
    </w:p>
    <w:p w:rsidR="004532E6" w:rsidRPr="004532E6" w:rsidP="00672A77">
      <w:pPr>
        <w:numPr>
          <w:ilvl w:val="1"/>
          <w:numId w:val="1"/>
        </w:numPr>
        <w:tabs>
          <w:tab w:val="left" w:pos="301"/>
        </w:tabs>
        <w:spacing w:after="0" w:line="240" w:lineRule="auto"/>
        <w:ind w:left="1" w:firstLine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информацию от государственных органов, органов местного самоуправления и организаций по вопросам, относящимся к компетенции Комиссии;</w:t>
      </w:r>
    </w:p>
    <w:p w:rsidR="004532E6" w:rsidRPr="004532E6" w:rsidP="00672A77">
      <w:pPr>
        <w:numPr>
          <w:ilvl w:val="0"/>
          <w:numId w:val="1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заслушивать на заседаниях Комиссии руководителей, работников школы;</w:t>
      </w:r>
    </w:p>
    <w:p w:rsidR="004532E6" w:rsidRPr="004532E6" w:rsidP="00672A77">
      <w:pPr>
        <w:numPr>
          <w:ilvl w:val="0"/>
          <w:numId w:val="1"/>
        </w:numPr>
        <w:tabs>
          <w:tab w:val="left" w:pos="236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разрабатывать рекомендации для практического использования по предотвращению и профилактике коррупционных правонарушений в образовательном учреждении;</w:t>
      </w:r>
    </w:p>
    <w:p w:rsidR="004532E6" w:rsidRPr="004532E6" w:rsidP="00672A77">
      <w:pPr>
        <w:numPr>
          <w:ilvl w:val="0"/>
          <w:numId w:val="1"/>
        </w:numPr>
        <w:tabs>
          <w:tab w:val="left" w:pos="164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4532E6" w:rsidRPr="004532E6" w:rsidP="00672A77">
      <w:pPr>
        <w:numPr>
          <w:ilvl w:val="0"/>
          <w:numId w:val="1"/>
        </w:numPr>
        <w:tabs>
          <w:tab w:val="left" w:pos="34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рассматривать поступившую информацию о проявлениях коррупции в школе, подготавливать предложения по устранению и недопущению выявленных нарушений;</w:t>
      </w:r>
    </w:p>
    <w:p w:rsidR="004532E6" w:rsidRPr="004532E6" w:rsidP="00672A77">
      <w:pPr>
        <w:numPr>
          <w:ilvl w:val="0"/>
          <w:numId w:val="2"/>
        </w:numPr>
        <w:tabs>
          <w:tab w:val="left" w:pos="251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вносить предложения о привлечении к дисциплинарной ответственности работников образовательного учреждения, совершивших коррупционные правонарушения;</w:t>
      </w:r>
    </w:p>
    <w:p w:rsidR="004532E6" w:rsidRPr="004532E6" w:rsidP="00672A77">
      <w:pPr>
        <w:numPr>
          <w:ilvl w:val="0"/>
          <w:numId w:val="2"/>
        </w:numPr>
        <w:tabs>
          <w:tab w:val="left" w:pos="27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создавать временные рабочие группы по вопросам реализации антикоррупционной политики.</w:t>
      </w:r>
    </w:p>
    <w:p w:rsidR="004532E6" w:rsidRPr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P="004F4471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 формирования Комиссии.</w:t>
      </w:r>
    </w:p>
    <w:p w:rsidR="004F4471" w:rsidRPr="004532E6" w:rsidP="004F4471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3.1.  Комиссия формируется в составе председателя комиссии, секретаря и членов комиссии.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3.2.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3.3.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3.4.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532E6" w:rsidRPr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P="004F4471">
      <w:pPr>
        <w:numPr>
          <w:ilvl w:val="0"/>
          <w:numId w:val="3"/>
        </w:numPr>
        <w:tabs>
          <w:tab w:val="left" w:pos="241"/>
        </w:tabs>
        <w:spacing w:after="0" w:line="240" w:lineRule="auto"/>
        <w:ind w:left="241" w:hanging="2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работы Комиссии.</w:t>
      </w:r>
    </w:p>
    <w:p w:rsidR="004532E6" w:rsidRPr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4532E6" w:rsidRPr="004532E6" w:rsidP="00672A77">
      <w:pPr>
        <w:numPr>
          <w:ilvl w:val="0"/>
          <w:numId w:val="4"/>
        </w:numPr>
        <w:tabs>
          <w:tab w:val="left" w:pos="16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</w:p>
    <w:p w:rsidR="004532E6" w:rsidRPr="004532E6" w:rsidP="00672A77">
      <w:pPr>
        <w:numPr>
          <w:ilvl w:val="0"/>
          <w:numId w:val="4"/>
        </w:numPr>
        <w:tabs>
          <w:tab w:val="left" w:pos="15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совершение деяний, указанных в подпункте 1 настоящего пункта, от имени или в интересах юридического лица;</w:t>
      </w:r>
    </w:p>
    <w:p w:rsidR="004532E6" w:rsidRPr="004532E6" w:rsidP="00672A77">
      <w:pPr>
        <w:numPr>
          <w:ilvl w:val="0"/>
          <w:numId w:val="4"/>
        </w:numPr>
        <w:tabs>
          <w:tab w:val="left" w:pos="14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наличие у работника личной заинтересованности, которая приводит или может привести к конфликту интересов;</w:t>
      </w:r>
    </w:p>
    <w:p w:rsidR="004532E6" w:rsidRPr="004532E6" w:rsidP="00672A77">
      <w:pPr>
        <w:numPr>
          <w:ilvl w:val="0"/>
          <w:numId w:val="4"/>
        </w:numPr>
        <w:tabs>
          <w:tab w:val="left" w:pos="16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несоблюдение требований к служебному поведению и (или) требований об урегулировании конфликта интересов.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4532E6" w:rsidRPr="004532E6" w:rsidP="00672A77">
      <w:pPr>
        <w:numPr>
          <w:ilvl w:val="0"/>
          <w:numId w:val="4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фамилию, имя, отчество работника и замещаемую им должность;</w:t>
      </w:r>
    </w:p>
    <w:p w:rsidR="004532E6" w:rsidRPr="004532E6" w:rsidP="00672A77">
      <w:pPr>
        <w:numPr>
          <w:ilvl w:val="0"/>
          <w:numId w:val="4"/>
        </w:numPr>
        <w:tabs>
          <w:tab w:val="left" w:pos="179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4532E6" w:rsidRPr="004532E6" w:rsidP="00672A77">
      <w:pPr>
        <w:numPr>
          <w:ilvl w:val="0"/>
          <w:numId w:val="4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данные об источнике информации.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4532E6" w:rsidRPr="004532E6" w:rsidP="00672A77">
      <w:pPr>
        <w:numPr>
          <w:ilvl w:val="0"/>
          <w:numId w:val="5"/>
        </w:numPr>
        <w:tabs>
          <w:tab w:val="left" w:pos="224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4532E6" w:rsidRPr="004532E6" w:rsidP="00672A77">
      <w:pPr>
        <w:numPr>
          <w:ilvl w:val="0"/>
          <w:numId w:val="5"/>
        </w:numPr>
        <w:tabs>
          <w:tab w:val="left" w:pos="212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4532E6" w:rsidRPr="004532E6" w:rsidP="00672A77">
      <w:pP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4532E6" w:rsidRPr="004532E6" w:rsidP="00672A77">
      <w:pPr>
        <w:numPr>
          <w:ilvl w:val="1"/>
          <w:numId w:val="5"/>
        </w:numPr>
        <w:tabs>
          <w:tab w:val="left" w:pos="990"/>
        </w:tabs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лучае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образовательного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учреждения в целях принятия мер по предотвращению конфликта интересов, усиления 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4.7.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4.8. Решения Комиссии принимаются простым большинством голосов от числа присутствующих членов Комиссии.</w:t>
      </w:r>
    </w:p>
    <w:p w:rsidR="004532E6" w:rsidRPr="004532E6" w:rsidP="00672A77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4.11. По итогам рассмотрения информации, Комиссия может принять одно из следующих решений:</w:t>
      </w:r>
    </w:p>
    <w:p w:rsidR="004532E6" w:rsidRPr="004532E6" w:rsidP="00672A77">
      <w:pPr>
        <w:numPr>
          <w:ilvl w:val="0"/>
          <w:numId w:val="6"/>
        </w:numPr>
        <w:tabs>
          <w:tab w:val="left" w:pos="342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4532E6" w:rsidRPr="004532E6" w:rsidP="00672A77">
      <w:pPr>
        <w:numPr>
          <w:ilvl w:val="0"/>
          <w:numId w:val="6"/>
        </w:numPr>
        <w:tabs>
          <w:tab w:val="left" w:pos="21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4.12. 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4532E6" w:rsidRPr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F4471" w:rsidP="004F4471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7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Комиссии.</w:t>
      </w:r>
    </w:p>
    <w:p w:rsidR="004532E6" w:rsidRPr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5.1.1. Председатель Комиссии:</w:t>
      </w:r>
    </w:p>
    <w:p w:rsidR="004532E6" w:rsidRPr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организует работу Комиссии;</w:t>
      </w:r>
    </w:p>
    <w:p w:rsidR="004532E6" w:rsidRPr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разрабатывает план работы Комиссии:</w:t>
      </w:r>
    </w:p>
    <w:p w:rsidR="004532E6" w:rsidRPr="004532E6" w:rsidP="00672A77">
      <w:pPr>
        <w:numPr>
          <w:ilvl w:val="0"/>
          <w:numId w:val="6"/>
        </w:numPr>
        <w:tabs>
          <w:tab w:val="left" w:pos="181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4532E6" w:rsidRPr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созывает заседание Комиссии;</w:t>
      </w:r>
    </w:p>
    <w:p w:rsidR="004532E6" w:rsidRPr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формирует проект повестки и осуществляет руководство подготовкой заседания Комиссий;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5.1.2. Заместитель председателя Комиссии выполняет обязанности председателя Комиссии в случае его отсутствия.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5.1.3. Секретарь Комиссии:</w:t>
      </w:r>
    </w:p>
    <w:p w:rsidR="004532E6" w:rsidRPr="004532E6" w:rsidP="00672A77">
      <w:pPr>
        <w:numPr>
          <w:ilvl w:val="0"/>
          <w:numId w:val="7"/>
        </w:numPr>
        <w:tabs>
          <w:tab w:val="left" w:pos="15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4532E6" w:rsidRPr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материалов для рассмотрения вопросов Комиссией;</w:t>
      </w:r>
    </w:p>
    <w:p w:rsidR="004532E6" w:rsidRPr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направляет членам Комиссии материалы к очередному заседанию;</w:t>
      </w:r>
    </w:p>
    <w:p w:rsidR="004532E6" w:rsidRPr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ведёт протоколы заседаний Комиссии, ведёт документацию Комиссии;</w:t>
      </w:r>
    </w:p>
    <w:p w:rsidR="004532E6" w:rsidRPr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проекта плановых отчётов;</w:t>
      </w:r>
    </w:p>
    <w:p w:rsidR="004532E6" w:rsidRPr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обеспечивает хранение документации поступающей в Комиссию;</w:t>
      </w:r>
    </w:p>
    <w:p w:rsidR="004532E6" w:rsidRPr="004532E6" w:rsidP="00672A77">
      <w:pPr>
        <w:numPr>
          <w:ilvl w:val="0"/>
          <w:numId w:val="7"/>
        </w:numPr>
        <w:tabs>
          <w:tab w:val="left" w:pos="20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работу по наполнению и обновлению раздела сайта МБОУ «</w:t>
      </w:r>
      <w:r w:rsidR="00575610">
        <w:rPr>
          <w:rFonts w:ascii="Times New Roman" w:eastAsia="Times New Roman" w:hAnsi="Times New Roman" w:cs="Times New Roman"/>
          <w:sz w:val="24"/>
          <w:szCs w:val="24"/>
        </w:rPr>
        <w:t>Золотополенская ОШ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75610">
        <w:rPr>
          <w:rFonts w:ascii="Times New Roman" w:eastAsia="Times New Roman" w:hAnsi="Times New Roman" w:cs="Times New Roman"/>
          <w:sz w:val="24"/>
          <w:szCs w:val="24"/>
        </w:rPr>
        <w:t xml:space="preserve">, посвященного вопросам 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противодействия коррупции;</w:t>
      </w:r>
    </w:p>
    <w:p w:rsidR="004532E6" w:rsidRPr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иную работу по поручению председателя Комиссии.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5.4.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5.5. По решению председателя комиссии в заседаниях Комиссии с правом совещательного голоса могут участвовать другие работники образовательного учреждения, представители государственных органов и организаций.</w:t>
      </w:r>
    </w:p>
    <w:p w:rsidR="004532E6" w:rsidRPr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P="004F4471">
      <w:pPr>
        <w:numPr>
          <w:ilvl w:val="0"/>
          <w:numId w:val="8"/>
        </w:numPr>
        <w:tabs>
          <w:tab w:val="left" w:pos="241"/>
        </w:tabs>
        <w:spacing w:after="0" w:line="240" w:lineRule="auto"/>
        <w:ind w:left="241" w:hanging="2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принятия Комиссией решений.</w:t>
      </w:r>
    </w:p>
    <w:p w:rsidR="004532E6" w:rsidRPr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6.1.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6.2. Все члены комиссии при принятии решений обладают равными правами.</w:t>
      </w:r>
    </w:p>
    <w:p w:rsidR="004532E6" w:rsidRPr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6.3.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4532E6" w:rsidRPr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P="004F4471">
      <w:pPr>
        <w:numPr>
          <w:ilvl w:val="0"/>
          <w:numId w:val="9"/>
        </w:numPr>
        <w:tabs>
          <w:tab w:val="left" w:pos="241"/>
        </w:tabs>
        <w:spacing w:after="0" w:line="240" w:lineRule="auto"/>
        <w:ind w:left="241" w:hanging="2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решений комиссии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2E6" w:rsidRPr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P="004F447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7.1. Решения Комиссии оформляются протоколами, которые подписывают члены комиссии, принимавшие участие в ее заседании.</w:t>
      </w:r>
    </w:p>
    <w:p w:rsidR="004532E6" w:rsidRPr="004532E6" w:rsidP="004F447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7.2.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4532E6" w:rsidRPr="004532E6" w:rsidP="004F4471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7.3. В решении Комиссии указываются:</w:t>
      </w:r>
    </w:p>
    <w:p w:rsidR="004532E6" w:rsidRPr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фамилии, имена, отчества членов Комиссии и других лиц, присутствующих на заседании;</w:t>
      </w:r>
    </w:p>
    <w:p w:rsidR="004532E6" w:rsidRPr="004532E6" w:rsidP="004F4471">
      <w:pPr>
        <w:numPr>
          <w:ilvl w:val="0"/>
          <w:numId w:val="10"/>
        </w:numPr>
        <w:tabs>
          <w:tab w:val="left" w:pos="143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4532E6" w:rsidRPr="004532E6" w:rsidP="004F4471">
      <w:pPr>
        <w:numPr>
          <w:ilvl w:val="0"/>
          <w:numId w:val="10"/>
        </w:numPr>
        <w:tabs>
          <w:tab w:val="left" w:pos="157"/>
        </w:tabs>
        <w:spacing w:after="0" w:line="240" w:lineRule="auto"/>
        <w:ind w:left="1" w:hanging="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дата поступления информации в Комиссию и дата ее рассмотрения на заседании Комиссии, существо информации;</w:t>
      </w:r>
    </w:p>
    <w:p w:rsidR="004532E6" w:rsidRPr="004532E6" w:rsidP="004F4471">
      <w:pPr>
        <w:numPr>
          <w:ilvl w:val="0"/>
          <w:numId w:val="10"/>
        </w:numPr>
        <w:tabs>
          <w:tab w:val="left" w:pos="270"/>
        </w:tabs>
        <w:spacing w:after="0" w:line="240" w:lineRule="auto"/>
        <w:ind w:left="1" w:hanging="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фамилия, имя, отчество выступивших на заседании лиц и краткое изложение их выступлений;</w:t>
      </w:r>
    </w:p>
    <w:p w:rsidR="004532E6" w:rsidRPr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содержание пояснений работника, в отношении которого рассматривался вопрос;</w:t>
      </w:r>
    </w:p>
    <w:p w:rsidR="004532E6" w:rsidRPr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источник информации, ставшей основанием для проведения заседания Комиссии;</w:t>
      </w:r>
    </w:p>
    <w:p w:rsidR="004532E6" w:rsidRPr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результаты голосования;</w:t>
      </w:r>
    </w:p>
    <w:p w:rsidR="004532E6" w:rsidRPr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решение и обоснование его принятия.</w:t>
      </w:r>
    </w:p>
    <w:p w:rsidR="004532E6" w:rsidRPr="004532E6" w:rsidP="004F447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7.4.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лицам.</w:t>
      </w:r>
    </w:p>
    <w:p w:rsidR="00843DC5" w:rsidRPr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672A77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DD409C58"/>
    <w:lvl w:ilvl="0">
      <w:start w:val="1"/>
      <w:numFmt w:val="bullet"/>
      <w:lvlText w:val="-"/>
      <w:lvlJc w:val="left"/>
    </w:lvl>
    <w:lvl w:ilvl="1">
      <w:start w:val="1"/>
      <w:numFmt w:val="bullet"/>
      <w:lvlText w:val="В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001547"/>
    <w:multiLevelType w:val="hybridMultilevel"/>
    <w:tmpl w:val="48541E04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26A6"/>
    <w:multiLevelType w:val="hybridMultilevel"/>
    <w:tmpl w:val="6DF86208"/>
    <w:lvl w:ilvl="0">
      <w:start w:val="1"/>
      <w:numFmt w:val="bullet"/>
      <w:lvlText w:val="-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0002D12"/>
    <w:multiLevelType w:val="hybridMultilevel"/>
    <w:tmpl w:val="461E4628"/>
    <w:lvl w:ilvl="0">
      <w:start w:val="1"/>
      <w:numFmt w:val="bullet"/>
      <w:lvlText w:val="-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00039B3"/>
    <w:multiLevelType w:val="hybridMultilevel"/>
    <w:tmpl w:val="78D8658E"/>
    <w:lvl w:ilvl="0">
      <w:start w:val="4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000428B"/>
    <w:multiLevelType w:val="hybridMultilevel"/>
    <w:tmpl w:val="53FC55A0"/>
    <w:lvl w:ilvl="0">
      <w:start w:val="7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00004DC8"/>
    <w:multiLevelType w:val="hybridMultilevel"/>
    <w:tmpl w:val="E75095B6"/>
    <w:lvl w:ilvl="0">
      <w:start w:val="1"/>
      <w:numFmt w:val="bullet"/>
      <w:lvlText w:val="-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000054DE"/>
    <w:multiLevelType w:val="hybridMultilevel"/>
    <w:tmpl w:val="CDCCAAEC"/>
    <w:lvl w:ilvl="0">
      <w:start w:val="1"/>
      <w:numFmt w:val="bullet"/>
      <w:lvlText w:val="-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00006443"/>
    <w:multiLevelType w:val="hybridMultilevel"/>
    <w:tmpl w:val="7DD86366"/>
    <w:lvl w:ilvl="0">
      <w:start w:val="1"/>
      <w:numFmt w:val="bullet"/>
      <w:lvlText w:val="-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000066BB"/>
    <w:multiLevelType w:val="hybridMultilevel"/>
    <w:tmpl w:val="E9A4C48E"/>
    <w:lvl w:ilvl="0">
      <w:start w:val="6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4532E6"/>
    <w:rsid w:val="004F4471"/>
    <w:rsid w:val="00575610"/>
    <w:rsid w:val="00672A77"/>
    <w:rsid w:val="00843DC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styleId="ListParagraph">
    <w:name w:val="List Paragraph"/>
    <w:basedOn w:val="Normal"/>
    <w:uiPriority w:val="34"/>
    <w:qFormat/>
    <w:rsid w:val="004F447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þÿBA:0=8@&gt;20==&gt;5 87&gt;1@065=85</dc:title>
  <dc:subject>þÿBA:0=8@&gt;20==&gt;5 87&gt;1@065=85</dc:subject>
  <dc:creator>NAPS2</dc:creator>
  <cp:revision>0</cp:revision>
</cp:coreProperties>
</file>